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21" w:rsidRDefault="008369A1">
      <w:pPr>
        <w:shd w:val="clear" w:color="auto" w:fill="FFFFFF"/>
        <w:ind w:right="4"/>
        <w:jc w:val="center"/>
      </w:pPr>
      <w:bookmarkStart w:id="0" w:name="_GoBack"/>
      <w:bookmarkEnd w:id="0"/>
      <w:r>
        <w:rPr>
          <w:b/>
          <w:bCs/>
          <w:color w:val="000000"/>
          <w:spacing w:val="-5"/>
          <w:sz w:val="24"/>
          <w:szCs w:val="24"/>
          <w:u w:val="single"/>
        </w:rPr>
        <w:t>Mission Statement and Measurement Report</w:t>
      </w:r>
    </w:p>
    <w:p w:rsidR="00C21321" w:rsidRDefault="008369A1">
      <w:pPr>
        <w:shd w:val="clear" w:color="auto" w:fill="FFFFFF"/>
        <w:spacing w:before="220"/>
        <w:ind w:left="32"/>
      </w:pPr>
      <w:r>
        <w:rPr>
          <w:b/>
          <w:bCs/>
          <w:color w:val="000000"/>
          <w:spacing w:val="-3"/>
          <w:sz w:val="24"/>
          <w:szCs w:val="24"/>
        </w:rPr>
        <w:t xml:space="preserve">Local Public Authority Name: </w:t>
      </w:r>
      <w:r>
        <w:rPr>
          <w:color w:val="000000"/>
          <w:spacing w:val="-3"/>
          <w:sz w:val="24"/>
          <w:szCs w:val="24"/>
        </w:rPr>
        <w:t>Seneca Falls Development Corporation</w:t>
      </w:r>
    </w:p>
    <w:p w:rsidR="00C21321" w:rsidRDefault="008369A1">
      <w:pPr>
        <w:shd w:val="clear" w:color="auto" w:fill="FFFFFF"/>
        <w:spacing w:before="230"/>
        <w:ind w:left="40"/>
      </w:pPr>
      <w:r>
        <w:rPr>
          <w:b/>
          <w:bCs/>
          <w:color w:val="000000"/>
          <w:spacing w:val="-4"/>
          <w:sz w:val="24"/>
          <w:szCs w:val="24"/>
        </w:rPr>
        <w:t xml:space="preserve">Fiscal Year:   </w:t>
      </w:r>
      <w:r w:rsidR="00F61CAD">
        <w:rPr>
          <w:color w:val="000000"/>
          <w:spacing w:val="-4"/>
          <w:sz w:val="24"/>
          <w:szCs w:val="24"/>
        </w:rPr>
        <w:t>2013</w:t>
      </w:r>
    </w:p>
    <w:p w:rsidR="00C21321" w:rsidRDefault="008369A1">
      <w:pPr>
        <w:shd w:val="clear" w:color="auto" w:fill="FFFFFF"/>
        <w:spacing w:before="220" w:line="266" w:lineRule="exact"/>
        <w:ind w:right="25"/>
        <w:jc w:val="both"/>
      </w:pPr>
      <w:r>
        <w:rPr>
          <w:b/>
          <w:bCs/>
          <w:color w:val="000000"/>
          <w:spacing w:val="-3"/>
          <w:sz w:val="24"/>
          <w:szCs w:val="24"/>
        </w:rPr>
        <w:t xml:space="preserve">Enabling Legislation: </w:t>
      </w:r>
      <w:r>
        <w:rPr>
          <w:color w:val="000000"/>
          <w:spacing w:val="-3"/>
          <w:sz w:val="24"/>
          <w:szCs w:val="24"/>
        </w:rPr>
        <w:t xml:space="preserve">LDCs are formed and empowered to conduct certain projects pursuant to Not-For-Profit Corporation Law § 1411. Distinguished from IDAs (which exist as public benefit corporations), LDCs are established as charitable corporations that are empowered to construct, </w:t>
      </w:r>
      <w:r>
        <w:rPr>
          <w:color w:val="000000"/>
          <w:spacing w:val="-1"/>
          <w:sz w:val="24"/>
          <w:szCs w:val="24"/>
        </w:rPr>
        <w:t xml:space="preserve">acquire, rehabilitate and improve for use by others, industrial or manufacturing plants in the </w:t>
      </w:r>
      <w:r>
        <w:rPr>
          <w:color w:val="000000"/>
          <w:spacing w:val="-2"/>
          <w:sz w:val="24"/>
          <w:szCs w:val="24"/>
        </w:rPr>
        <w:t xml:space="preserve">territory in which its operations are principally to be conducted ("Benefited Territory") and to </w:t>
      </w:r>
      <w:r>
        <w:rPr>
          <w:color w:val="000000"/>
          <w:sz w:val="24"/>
          <w:szCs w:val="24"/>
        </w:rPr>
        <w:t xml:space="preserve">make loans. LDCs can provide financial assistance for the construction, acquisition, </w:t>
      </w:r>
      <w:r>
        <w:rPr>
          <w:color w:val="000000"/>
          <w:spacing w:val="-3"/>
          <w:sz w:val="24"/>
          <w:szCs w:val="24"/>
        </w:rPr>
        <w:t xml:space="preserve">rehabilitation, improvement, and maintenance of facilities for others in its Benefited Territory. </w:t>
      </w:r>
      <w:r>
        <w:rPr>
          <w:color w:val="000000"/>
          <w:spacing w:val="-1"/>
          <w:sz w:val="24"/>
          <w:szCs w:val="24"/>
        </w:rPr>
        <w:t xml:space="preserve">Specific LDC powers include the ability to: (i) disseminate information and furnish advice, </w:t>
      </w:r>
      <w:r>
        <w:rPr>
          <w:color w:val="000000"/>
          <w:spacing w:val="-2"/>
          <w:sz w:val="24"/>
          <w:szCs w:val="24"/>
        </w:rPr>
        <w:t xml:space="preserve">technical assistance and liaison services to Federal, State and local authorities; (ii) to acquire by </w:t>
      </w:r>
      <w:r>
        <w:rPr>
          <w:color w:val="000000"/>
          <w:spacing w:val="-3"/>
          <w:sz w:val="24"/>
          <w:szCs w:val="24"/>
        </w:rPr>
        <w:t xml:space="preserve">purchase, lease, gift, bequest, devise or otherwise, real or personal property; and (iii) to borrow money and to issue negotiable bonds, notes and other obligations. LDCs are empowered to sell, .lease, </w:t>
      </w:r>
      <w:proofErr w:type="gramStart"/>
      <w:r>
        <w:rPr>
          <w:color w:val="000000"/>
          <w:spacing w:val="-3"/>
          <w:sz w:val="24"/>
          <w:szCs w:val="24"/>
        </w:rPr>
        <w:t>mortgage</w:t>
      </w:r>
      <w:proofErr w:type="gramEnd"/>
      <w:r>
        <w:rPr>
          <w:color w:val="000000"/>
          <w:spacing w:val="-3"/>
          <w:sz w:val="24"/>
          <w:szCs w:val="24"/>
        </w:rPr>
        <w:t xml:space="preserve"> or otherwise dispose of or encumber facilities or any real or personal property or </w:t>
      </w:r>
      <w:r>
        <w:rPr>
          <w:color w:val="000000"/>
          <w:sz w:val="24"/>
          <w:szCs w:val="24"/>
        </w:rPr>
        <w:t>any interest therein.</w:t>
      </w:r>
    </w:p>
    <w:p w:rsidR="00C21321" w:rsidRDefault="008369A1">
      <w:pPr>
        <w:shd w:val="clear" w:color="auto" w:fill="FFFFFF"/>
        <w:spacing w:before="270" w:line="263" w:lineRule="exact"/>
        <w:ind w:left="40" w:right="29"/>
        <w:jc w:val="both"/>
      </w:pPr>
      <w:r>
        <w:rPr>
          <w:b/>
          <w:bCs/>
          <w:color w:val="000000"/>
          <w:spacing w:val="-3"/>
          <w:sz w:val="24"/>
          <w:szCs w:val="24"/>
        </w:rPr>
        <w:t xml:space="preserve">Mission Statement: </w:t>
      </w:r>
      <w:r>
        <w:rPr>
          <w:color w:val="000000"/>
          <w:spacing w:val="-3"/>
          <w:sz w:val="24"/>
          <w:szCs w:val="24"/>
        </w:rPr>
        <w:t xml:space="preserve">Seneca Falls Development Corporation's mission is to plan and implement </w:t>
      </w:r>
      <w:r>
        <w:rPr>
          <w:color w:val="000000"/>
          <w:spacing w:val="-2"/>
          <w:sz w:val="24"/>
          <w:szCs w:val="24"/>
        </w:rPr>
        <w:t xml:space="preserve">programs, projects and activities designed to create or stimulate economic and community </w:t>
      </w:r>
      <w:r w:rsidR="00F61CAD">
        <w:rPr>
          <w:color w:val="000000"/>
          <w:sz w:val="24"/>
          <w:szCs w:val="24"/>
        </w:rPr>
        <w:t>development in the</w:t>
      </w:r>
      <w:r>
        <w:rPr>
          <w:color w:val="000000"/>
          <w:sz w:val="24"/>
          <w:szCs w:val="24"/>
        </w:rPr>
        <w:t xml:space="preserve"> Town of Seneca Falls, New York.</w:t>
      </w:r>
    </w:p>
    <w:p w:rsidR="00C21321" w:rsidRDefault="008369A1">
      <w:pPr>
        <w:shd w:val="clear" w:color="auto" w:fill="FFFFFF"/>
        <w:spacing w:before="263"/>
        <w:ind w:left="40"/>
        <w:rPr>
          <w:b/>
          <w:bCs/>
          <w:color w:val="000000"/>
          <w:spacing w:val="-5"/>
          <w:sz w:val="24"/>
          <w:szCs w:val="24"/>
        </w:rPr>
      </w:pPr>
      <w:r>
        <w:rPr>
          <w:b/>
          <w:bCs/>
          <w:color w:val="000000"/>
          <w:spacing w:val="-5"/>
          <w:sz w:val="24"/>
          <w:szCs w:val="24"/>
        </w:rPr>
        <w:t>2013 Measurements:</w:t>
      </w:r>
    </w:p>
    <w:p w:rsidR="00F61CAD" w:rsidRDefault="00F61CAD">
      <w:pPr>
        <w:shd w:val="clear" w:color="auto" w:fill="FFFFFF"/>
        <w:spacing w:before="263"/>
        <w:ind w:left="40"/>
      </w:pPr>
    </w:p>
    <w:p w:rsidR="00FD14DD" w:rsidRDefault="00FD14DD" w:rsidP="00FD14DD">
      <w:pPr>
        <w:pStyle w:val="ListParagraph"/>
        <w:numPr>
          <w:ilvl w:val="0"/>
          <w:numId w:val="2"/>
        </w:numPr>
        <w:shd w:val="clear" w:color="auto" w:fill="FFFFFF"/>
        <w:tabs>
          <w:tab w:val="left" w:pos="738"/>
        </w:tabs>
        <w:spacing w:line="263" w:lineRule="exact"/>
        <w:rPr>
          <w:color w:val="000000"/>
          <w:sz w:val="24"/>
          <w:szCs w:val="24"/>
        </w:rPr>
      </w:pPr>
      <w:r w:rsidRPr="00FD14DD">
        <w:rPr>
          <w:color w:val="000000"/>
          <w:sz w:val="24"/>
          <w:szCs w:val="24"/>
        </w:rPr>
        <w:t>Whether the activities of the Corporation stimulated economic development within Village and Town.</w:t>
      </w:r>
    </w:p>
    <w:p w:rsidR="00FD14DD" w:rsidRDefault="00FD14DD" w:rsidP="00FD14DD">
      <w:pPr>
        <w:pStyle w:val="ListParagraph"/>
        <w:shd w:val="clear" w:color="auto" w:fill="FFFFFF"/>
        <w:tabs>
          <w:tab w:val="left" w:pos="738"/>
        </w:tabs>
        <w:spacing w:line="263" w:lineRule="exact"/>
        <w:ind w:left="745"/>
        <w:rPr>
          <w:color w:val="000000"/>
          <w:sz w:val="24"/>
          <w:szCs w:val="24"/>
        </w:rPr>
      </w:pPr>
    </w:p>
    <w:p w:rsidR="00FD14DD" w:rsidRDefault="00FD14DD" w:rsidP="00FD14DD">
      <w:pPr>
        <w:pStyle w:val="ListParagraph"/>
        <w:shd w:val="clear" w:color="auto" w:fill="FFFFFF"/>
        <w:tabs>
          <w:tab w:val="left" w:pos="738"/>
        </w:tabs>
        <w:spacing w:line="263" w:lineRule="exact"/>
        <w:ind w:left="745"/>
        <w:rPr>
          <w:color w:val="000000"/>
          <w:sz w:val="24"/>
          <w:szCs w:val="24"/>
        </w:rPr>
      </w:pPr>
      <w:r>
        <w:rPr>
          <w:color w:val="000000"/>
          <w:sz w:val="24"/>
          <w:szCs w:val="24"/>
        </w:rPr>
        <w:t>The corporation continued the Farmers’ Market during 2013.  The number of vendors participating remained consistent with the prior year.  The Farmers’ Market attracts individuals to Downtown Seneca Falls, and the increased traffic benefits local merchants.  One of the Market’s vendors, Tom Wilson, opened a store front on State Street as a direct result of his participation in the Farmers’ Market.  We are hopeful that additional business will be generated as the Market continues.</w:t>
      </w:r>
    </w:p>
    <w:p w:rsidR="00FD14DD" w:rsidRPr="00FD14DD" w:rsidRDefault="00FD14DD" w:rsidP="00FD14DD">
      <w:pPr>
        <w:pStyle w:val="ListParagraph"/>
        <w:shd w:val="clear" w:color="auto" w:fill="FFFFFF"/>
        <w:tabs>
          <w:tab w:val="left" w:pos="738"/>
        </w:tabs>
        <w:spacing w:line="263" w:lineRule="exact"/>
        <w:ind w:left="745"/>
        <w:rPr>
          <w:color w:val="000000"/>
          <w:sz w:val="24"/>
          <w:szCs w:val="24"/>
        </w:rPr>
      </w:pPr>
    </w:p>
    <w:p w:rsidR="00D2389B" w:rsidRDefault="00FD14DD" w:rsidP="00FD14DD">
      <w:pPr>
        <w:pStyle w:val="ListParagraph"/>
        <w:numPr>
          <w:ilvl w:val="0"/>
          <w:numId w:val="2"/>
        </w:numPr>
        <w:shd w:val="clear" w:color="auto" w:fill="FFFFFF"/>
        <w:tabs>
          <w:tab w:val="left" w:pos="738"/>
        </w:tabs>
        <w:spacing w:line="263" w:lineRule="exact"/>
        <w:rPr>
          <w:color w:val="000000"/>
          <w:sz w:val="24"/>
          <w:szCs w:val="24"/>
        </w:rPr>
      </w:pPr>
      <w:r>
        <w:rPr>
          <w:color w:val="000000"/>
          <w:sz w:val="24"/>
          <w:szCs w:val="24"/>
        </w:rPr>
        <w:t xml:space="preserve">Whether the activities of the Corporation enhanced community development with the Village and Town.  </w:t>
      </w:r>
    </w:p>
    <w:p w:rsidR="00D2389B" w:rsidRDefault="00D2389B" w:rsidP="00D2389B">
      <w:pPr>
        <w:pStyle w:val="ListParagraph"/>
        <w:shd w:val="clear" w:color="auto" w:fill="FFFFFF"/>
        <w:tabs>
          <w:tab w:val="left" w:pos="738"/>
        </w:tabs>
        <w:spacing w:line="263" w:lineRule="exact"/>
        <w:ind w:left="745"/>
        <w:rPr>
          <w:color w:val="000000"/>
          <w:sz w:val="24"/>
          <w:szCs w:val="24"/>
        </w:rPr>
      </w:pPr>
    </w:p>
    <w:p w:rsidR="00FD14DD" w:rsidRDefault="00FD14DD" w:rsidP="00D2389B">
      <w:pPr>
        <w:pStyle w:val="ListParagraph"/>
        <w:shd w:val="clear" w:color="auto" w:fill="FFFFFF"/>
        <w:tabs>
          <w:tab w:val="left" w:pos="738"/>
        </w:tabs>
        <w:spacing w:line="263" w:lineRule="exact"/>
        <w:ind w:left="745"/>
        <w:rPr>
          <w:color w:val="000000"/>
          <w:sz w:val="24"/>
          <w:szCs w:val="24"/>
        </w:rPr>
      </w:pPr>
      <w:r>
        <w:rPr>
          <w:color w:val="000000"/>
          <w:sz w:val="24"/>
          <w:szCs w:val="24"/>
        </w:rPr>
        <w:t xml:space="preserve">We </w:t>
      </w:r>
      <w:r w:rsidR="00D2389B">
        <w:rPr>
          <w:color w:val="000000"/>
          <w:sz w:val="24"/>
          <w:szCs w:val="24"/>
        </w:rPr>
        <w:t>have continued negotiating</w:t>
      </w:r>
      <w:r>
        <w:rPr>
          <w:color w:val="000000"/>
          <w:sz w:val="24"/>
          <w:szCs w:val="24"/>
        </w:rPr>
        <w:t xml:space="preserve"> with a trucking company to locate their depot in the town.  </w:t>
      </w:r>
      <w:r w:rsidR="00D2389B">
        <w:rPr>
          <w:color w:val="000000"/>
          <w:sz w:val="24"/>
          <w:szCs w:val="24"/>
        </w:rPr>
        <w:t xml:space="preserve">The company will provide no less than fifty new jobs to the community and will work closely with an already established business.  </w:t>
      </w:r>
    </w:p>
    <w:p w:rsidR="00D2389B" w:rsidRDefault="00D2389B" w:rsidP="00D2389B">
      <w:pPr>
        <w:pStyle w:val="ListParagraph"/>
        <w:shd w:val="clear" w:color="auto" w:fill="FFFFFF"/>
        <w:tabs>
          <w:tab w:val="left" w:pos="738"/>
        </w:tabs>
        <w:spacing w:line="263" w:lineRule="exact"/>
        <w:ind w:left="745"/>
        <w:rPr>
          <w:color w:val="000000"/>
          <w:sz w:val="24"/>
          <w:szCs w:val="24"/>
        </w:rPr>
      </w:pPr>
    </w:p>
    <w:p w:rsidR="00D2389B" w:rsidRPr="00FD14DD" w:rsidRDefault="00D2389B" w:rsidP="00D2389B">
      <w:pPr>
        <w:pStyle w:val="ListParagraph"/>
        <w:shd w:val="clear" w:color="auto" w:fill="FFFFFF"/>
        <w:tabs>
          <w:tab w:val="left" w:pos="738"/>
        </w:tabs>
        <w:spacing w:line="263" w:lineRule="exact"/>
        <w:ind w:left="745"/>
        <w:rPr>
          <w:color w:val="000000"/>
          <w:sz w:val="24"/>
          <w:szCs w:val="24"/>
        </w:rPr>
        <w:sectPr w:rsidR="00D2389B" w:rsidRPr="00FD14DD">
          <w:type w:val="continuous"/>
          <w:pgSz w:w="12240" w:h="15840"/>
          <w:pgMar w:top="1440" w:right="1509" w:bottom="720" w:left="1576" w:header="720" w:footer="720" w:gutter="0"/>
          <w:cols w:space="60"/>
          <w:noEndnote/>
        </w:sectPr>
      </w:pPr>
      <w:r>
        <w:rPr>
          <w:color w:val="000000"/>
          <w:sz w:val="24"/>
          <w:szCs w:val="24"/>
        </w:rPr>
        <w:t>The Town consolidated its Zoning Laws during 2013, incorporating the former Villages rules.  The LDC provided advisory services in that regard.</w:t>
      </w:r>
    </w:p>
    <w:p w:rsidR="00C21321" w:rsidRDefault="008369A1">
      <w:pPr>
        <w:shd w:val="clear" w:color="auto" w:fill="FFFFFF"/>
        <w:spacing w:before="493"/>
        <w:ind w:left="4"/>
      </w:pPr>
      <w:r>
        <w:rPr>
          <w:b/>
          <w:bCs/>
          <w:color w:val="000000"/>
          <w:spacing w:val="-2"/>
          <w:sz w:val="24"/>
          <w:szCs w:val="24"/>
        </w:rPr>
        <w:lastRenderedPageBreak/>
        <w:t xml:space="preserve">Authority Stakeholders: </w:t>
      </w:r>
      <w:r w:rsidR="00F61CAD">
        <w:rPr>
          <w:color w:val="000000"/>
          <w:spacing w:val="-2"/>
          <w:sz w:val="24"/>
          <w:szCs w:val="24"/>
        </w:rPr>
        <w:t>The</w:t>
      </w:r>
      <w:r>
        <w:rPr>
          <w:color w:val="000000"/>
          <w:spacing w:val="-2"/>
          <w:sz w:val="24"/>
          <w:szCs w:val="24"/>
        </w:rPr>
        <w:t xml:space="preserve"> Town of Seneca Falls elected officials.</w:t>
      </w:r>
    </w:p>
    <w:p w:rsidR="00C21321" w:rsidRDefault="008369A1">
      <w:pPr>
        <w:shd w:val="clear" w:color="auto" w:fill="FFFFFF"/>
        <w:spacing w:before="212" w:line="299" w:lineRule="exact"/>
        <w:ind w:left="11"/>
      </w:pPr>
      <w:r>
        <w:rPr>
          <w:b/>
          <w:bCs/>
          <w:color w:val="000000"/>
          <w:sz w:val="24"/>
          <w:szCs w:val="24"/>
        </w:rPr>
        <w:t xml:space="preserve">Authority Beneficiaries: </w:t>
      </w:r>
      <w:r>
        <w:rPr>
          <w:color w:val="000000"/>
          <w:sz w:val="24"/>
          <w:szCs w:val="24"/>
        </w:rPr>
        <w:t xml:space="preserve">The residents and taxing </w:t>
      </w:r>
      <w:r w:rsidR="00F61CAD">
        <w:rPr>
          <w:color w:val="000000"/>
          <w:sz w:val="24"/>
          <w:szCs w:val="24"/>
        </w:rPr>
        <w:t>jurisdictions of the</w:t>
      </w:r>
      <w:r>
        <w:rPr>
          <w:color w:val="000000"/>
          <w:sz w:val="24"/>
          <w:szCs w:val="24"/>
        </w:rPr>
        <w:t xml:space="preserve"> Town of Seneca Falls.</w:t>
      </w:r>
    </w:p>
    <w:p w:rsidR="00C21321" w:rsidRDefault="008369A1">
      <w:pPr>
        <w:shd w:val="clear" w:color="auto" w:fill="FFFFFF"/>
        <w:spacing w:before="198" w:line="299" w:lineRule="exact"/>
        <w:ind w:left="18"/>
      </w:pPr>
      <w:r>
        <w:rPr>
          <w:b/>
          <w:bCs/>
          <w:color w:val="000000"/>
          <w:spacing w:val="-1"/>
          <w:sz w:val="24"/>
          <w:szCs w:val="24"/>
        </w:rPr>
        <w:t xml:space="preserve">Authority Customers: </w:t>
      </w:r>
      <w:r>
        <w:rPr>
          <w:color w:val="000000"/>
          <w:spacing w:val="-1"/>
          <w:sz w:val="24"/>
          <w:szCs w:val="24"/>
        </w:rPr>
        <w:t>The business community and communi</w:t>
      </w:r>
      <w:r w:rsidR="00F61CAD">
        <w:rPr>
          <w:color w:val="000000"/>
          <w:spacing w:val="-1"/>
          <w:sz w:val="24"/>
          <w:szCs w:val="24"/>
        </w:rPr>
        <w:t xml:space="preserve">ty organizations of the Town of                              Seneca Falls. </w:t>
      </w:r>
    </w:p>
    <w:p w:rsidR="00C21321" w:rsidRDefault="008369A1">
      <w:pPr>
        <w:shd w:val="clear" w:color="auto" w:fill="FFFFFF"/>
        <w:spacing w:before="227"/>
        <w:ind w:left="18"/>
      </w:pPr>
      <w:r>
        <w:rPr>
          <w:b/>
          <w:bCs/>
          <w:color w:val="000000"/>
          <w:spacing w:val="-4"/>
          <w:sz w:val="24"/>
          <w:szCs w:val="24"/>
        </w:rPr>
        <w:t>Governance Certification:</w:t>
      </w:r>
    </w:p>
    <w:p w:rsidR="00C21321" w:rsidRDefault="008369A1">
      <w:pPr>
        <w:shd w:val="clear" w:color="auto" w:fill="FFFFFF"/>
        <w:tabs>
          <w:tab w:val="left" w:pos="724"/>
        </w:tabs>
        <w:spacing w:before="212" w:line="295" w:lineRule="exact"/>
        <w:ind w:left="724" w:hanging="360"/>
      </w:pPr>
      <w:r>
        <w:rPr>
          <w:color w:val="000000"/>
          <w:spacing w:val="-22"/>
          <w:sz w:val="24"/>
          <w:szCs w:val="24"/>
        </w:rPr>
        <w:t>1.</w:t>
      </w:r>
      <w:r>
        <w:rPr>
          <w:color w:val="000000"/>
          <w:sz w:val="24"/>
          <w:szCs w:val="24"/>
        </w:rPr>
        <w:tab/>
      </w:r>
      <w:r>
        <w:rPr>
          <w:color w:val="000000"/>
          <w:spacing w:val="-2"/>
          <w:sz w:val="24"/>
          <w:szCs w:val="24"/>
        </w:rPr>
        <w:t>Have the board members acknowledged that they have read and understood the mission</w:t>
      </w:r>
      <w:r>
        <w:rPr>
          <w:color w:val="000000"/>
          <w:spacing w:val="-2"/>
          <w:sz w:val="24"/>
          <w:szCs w:val="24"/>
        </w:rPr>
        <w:br/>
      </w:r>
      <w:r>
        <w:rPr>
          <w:color w:val="000000"/>
          <w:sz w:val="24"/>
          <w:szCs w:val="24"/>
        </w:rPr>
        <w:t>of the public authority?</w:t>
      </w:r>
    </w:p>
    <w:p w:rsidR="00C21321" w:rsidRDefault="008369A1">
      <w:pPr>
        <w:shd w:val="clear" w:color="auto" w:fill="FFFFFF"/>
        <w:spacing w:before="32" w:line="500" w:lineRule="exact"/>
        <w:ind w:left="785"/>
      </w:pPr>
      <w:r>
        <w:rPr>
          <w:color w:val="000000"/>
          <w:spacing w:val="-2"/>
          <w:sz w:val="24"/>
          <w:szCs w:val="24"/>
        </w:rPr>
        <w:t>Board of Directors Response: Yes</w:t>
      </w:r>
    </w:p>
    <w:p w:rsidR="00C21321" w:rsidRDefault="008369A1" w:rsidP="008369A1">
      <w:pPr>
        <w:numPr>
          <w:ilvl w:val="0"/>
          <w:numId w:val="1"/>
        </w:numPr>
        <w:shd w:val="clear" w:color="auto" w:fill="FFFFFF"/>
        <w:tabs>
          <w:tab w:val="left" w:pos="724"/>
        </w:tabs>
        <w:spacing w:line="500" w:lineRule="exact"/>
        <w:ind w:left="724" w:right="1843" w:hanging="360"/>
        <w:rPr>
          <w:color w:val="000000"/>
          <w:spacing w:val="-10"/>
          <w:sz w:val="24"/>
          <w:szCs w:val="24"/>
        </w:rPr>
      </w:pPr>
      <w:r>
        <w:rPr>
          <w:color w:val="000000"/>
          <w:spacing w:val="-5"/>
          <w:sz w:val="24"/>
          <w:szCs w:val="24"/>
        </w:rPr>
        <w:t xml:space="preserve">Who has the power to appoint management of the public authority? </w:t>
      </w:r>
      <w:r>
        <w:rPr>
          <w:color w:val="000000"/>
          <w:spacing w:val="-4"/>
          <w:sz w:val="24"/>
          <w:szCs w:val="24"/>
        </w:rPr>
        <w:t>Board of Directors Response: The Board of Directors</w:t>
      </w:r>
    </w:p>
    <w:p w:rsidR="00C21321" w:rsidRDefault="008369A1" w:rsidP="008369A1">
      <w:pPr>
        <w:numPr>
          <w:ilvl w:val="0"/>
          <w:numId w:val="1"/>
        </w:numPr>
        <w:shd w:val="clear" w:color="auto" w:fill="FFFFFF"/>
        <w:tabs>
          <w:tab w:val="left" w:pos="724"/>
        </w:tabs>
        <w:spacing w:before="162" w:line="299" w:lineRule="exact"/>
        <w:ind w:left="724" w:hanging="360"/>
        <w:rPr>
          <w:color w:val="000000"/>
          <w:spacing w:val="-13"/>
          <w:sz w:val="24"/>
          <w:szCs w:val="24"/>
        </w:rPr>
      </w:pPr>
      <w:r>
        <w:rPr>
          <w:color w:val="000000"/>
          <w:spacing w:val="-4"/>
          <w:sz w:val="24"/>
          <w:szCs w:val="24"/>
        </w:rPr>
        <w:t xml:space="preserve">If the Board appoints management, do you have a policy you follow when appointing the </w:t>
      </w:r>
      <w:r>
        <w:rPr>
          <w:color w:val="000000"/>
          <w:sz w:val="24"/>
          <w:szCs w:val="24"/>
        </w:rPr>
        <w:t>management of the public authority.</w:t>
      </w:r>
    </w:p>
    <w:p w:rsidR="00C21321" w:rsidRDefault="008369A1">
      <w:pPr>
        <w:shd w:val="clear" w:color="auto" w:fill="FFFFFF"/>
        <w:spacing w:before="220"/>
        <w:ind w:left="738"/>
      </w:pPr>
      <w:r>
        <w:rPr>
          <w:color w:val="000000"/>
          <w:spacing w:val="-2"/>
          <w:sz w:val="24"/>
          <w:szCs w:val="24"/>
        </w:rPr>
        <w:t>Board of Directors Response: Yes</w:t>
      </w:r>
    </w:p>
    <w:p w:rsidR="00C21321" w:rsidRDefault="008369A1">
      <w:pPr>
        <w:shd w:val="clear" w:color="auto" w:fill="FFFFFF"/>
        <w:tabs>
          <w:tab w:val="left" w:pos="724"/>
        </w:tabs>
        <w:spacing w:before="198" w:line="306" w:lineRule="exact"/>
        <w:ind w:left="724" w:hanging="360"/>
      </w:pPr>
      <w:r>
        <w:rPr>
          <w:color w:val="000000"/>
          <w:spacing w:val="-9"/>
          <w:sz w:val="24"/>
          <w:szCs w:val="24"/>
        </w:rPr>
        <w:t>4.</w:t>
      </w:r>
      <w:r>
        <w:rPr>
          <w:color w:val="000000"/>
          <w:sz w:val="24"/>
          <w:szCs w:val="24"/>
        </w:rPr>
        <w:tab/>
      </w:r>
      <w:r>
        <w:rPr>
          <w:color w:val="000000"/>
          <w:spacing w:val="-3"/>
          <w:sz w:val="24"/>
          <w:szCs w:val="24"/>
        </w:rPr>
        <w:t>Briefly describe the role of the Board and the role of management in the implementation</w:t>
      </w:r>
      <w:r>
        <w:rPr>
          <w:color w:val="000000"/>
          <w:spacing w:val="-3"/>
          <w:sz w:val="24"/>
          <w:szCs w:val="24"/>
        </w:rPr>
        <w:br/>
      </w:r>
      <w:r>
        <w:rPr>
          <w:color w:val="000000"/>
          <w:sz w:val="24"/>
          <w:szCs w:val="24"/>
        </w:rPr>
        <w:t>of the mission.</w:t>
      </w:r>
    </w:p>
    <w:p w:rsidR="00C21321" w:rsidRDefault="008369A1">
      <w:pPr>
        <w:shd w:val="clear" w:color="auto" w:fill="FFFFFF"/>
        <w:spacing w:before="194" w:line="302" w:lineRule="exact"/>
        <w:ind w:left="734" w:right="36"/>
        <w:jc w:val="both"/>
      </w:pPr>
      <w:r>
        <w:rPr>
          <w:color w:val="000000"/>
          <w:spacing w:val="-4"/>
          <w:sz w:val="24"/>
          <w:szCs w:val="24"/>
        </w:rPr>
        <w:t xml:space="preserve">Board of Directors Response: The role of the Board regarding the implementation of the </w:t>
      </w:r>
      <w:r>
        <w:rPr>
          <w:color w:val="000000"/>
          <w:spacing w:val="-3"/>
          <w:sz w:val="24"/>
          <w:szCs w:val="24"/>
        </w:rPr>
        <w:t xml:space="preserve">public authority's mission is to provide strategic input, guidance, oversight, mission </w:t>
      </w:r>
      <w:r>
        <w:rPr>
          <w:color w:val="000000"/>
          <w:spacing w:val="-4"/>
          <w:sz w:val="24"/>
          <w:szCs w:val="24"/>
        </w:rPr>
        <w:t xml:space="preserve">authorization, policy setting and validation of the authority's mission, measurements and results. The role of management is to collaborate with the board in strategy development </w:t>
      </w:r>
      <w:r>
        <w:rPr>
          <w:color w:val="000000"/>
          <w:spacing w:val="-3"/>
          <w:sz w:val="24"/>
          <w:szCs w:val="24"/>
        </w:rPr>
        <w:t xml:space="preserve">and to implement established programs, processes, activities and policies to achieve the </w:t>
      </w:r>
      <w:r>
        <w:rPr>
          <w:color w:val="000000"/>
          <w:sz w:val="24"/>
          <w:szCs w:val="24"/>
        </w:rPr>
        <w:t>public authority's mission.</w:t>
      </w:r>
    </w:p>
    <w:p w:rsidR="00C21321" w:rsidRDefault="008369A1">
      <w:pPr>
        <w:shd w:val="clear" w:color="auto" w:fill="FFFFFF"/>
        <w:tabs>
          <w:tab w:val="left" w:pos="724"/>
        </w:tabs>
        <w:spacing w:before="198" w:line="302" w:lineRule="exact"/>
        <w:ind w:left="724" w:hanging="360"/>
      </w:pPr>
      <w:r>
        <w:rPr>
          <w:color w:val="000000"/>
          <w:spacing w:val="-14"/>
          <w:sz w:val="24"/>
          <w:szCs w:val="24"/>
        </w:rPr>
        <w:t>5.</w:t>
      </w:r>
      <w:r>
        <w:rPr>
          <w:color w:val="000000"/>
          <w:sz w:val="24"/>
          <w:szCs w:val="24"/>
        </w:rPr>
        <w:tab/>
      </w:r>
      <w:r>
        <w:rPr>
          <w:color w:val="000000"/>
          <w:spacing w:val="-2"/>
          <w:sz w:val="24"/>
          <w:szCs w:val="24"/>
        </w:rPr>
        <w:t>Has the Board acknowledged that they have read and understood the response to each of</w:t>
      </w:r>
      <w:r>
        <w:rPr>
          <w:color w:val="000000"/>
          <w:spacing w:val="-2"/>
          <w:sz w:val="24"/>
          <w:szCs w:val="24"/>
        </w:rPr>
        <w:br/>
      </w:r>
      <w:r>
        <w:rPr>
          <w:color w:val="000000"/>
          <w:sz w:val="24"/>
          <w:szCs w:val="24"/>
        </w:rPr>
        <w:t>these questions?</w:t>
      </w:r>
    </w:p>
    <w:p w:rsidR="008369A1" w:rsidRDefault="008369A1">
      <w:pPr>
        <w:shd w:val="clear" w:color="auto" w:fill="FFFFFF"/>
        <w:spacing w:before="209"/>
        <w:ind w:left="752"/>
      </w:pPr>
      <w:r>
        <w:rPr>
          <w:color w:val="000000"/>
          <w:spacing w:val="-4"/>
          <w:sz w:val="24"/>
          <w:szCs w:val="24"/>
        </w:rPr>
        <w:t>Board of Directors Response: Yes</w:t>
      </w:r>
    </w:p>
    <w:sectPr w:rsidR="008369A1">
      <w:pgSz w:w="12240" w:h="15840"/>
      <w:pgMar w:top="1440" w:right="1512" w:bottom="720" w:left="161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1E08"/>
    <w:multiLevelType w:val="singleLevel"/>
    <w:tmpl w:val="2A88217E"/>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7DFB5119"/>
    <w:multiLevelType w:val="hybridMultilevel"/>
    <w:tmpl w:val="F10AC06A"/>
    <w:lvl w:ilvl="0" w:tplc="70364058">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A1"/>
    <w:rsid w:val="001223E1"/>
    <w:rsid w:val="006A4FEA"/>
    <w:rsid w:val="00783E15"/>
    <w:rsid w:val="008369A1"/>
    <w:rsid w:val="00A77F8A"/>
    <w:rsid w:val="00C21321"/>
    <w:rsid w:val="00C66563"/>
    <w:rsid w:val="00D2389B"/>
    <w:rsid w:val="00F61CAD"/>
    <w:rsid w:val="00FD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EC3BA3-C3D0-404F-A87C-C77A6DB4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Parish</dc:creator>
  <cp:lastModifiedBy>Trbovic-Zivkovic, Klea</cp:lastModifiedBy>
  <cp:revision>2</cp:revision>
  <dcterms:created xsi:type="dcterms:W3CDTF">2017-01-10T13:20:00Z</dcterms:created>
  <dcterms:modified xsi:type="dcterms:W3CDTF">2017-01-10T13:20:00Z</dcterms:modified>
</cp:coreProperties>
</file>